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2572" w14:textId="68117142" w:rsidR="00EE3E53" w:rsidRDefault="00C353A3">
      <w:pPr>
        <w:pBdr>
          <w:bottom w:val="single" w:sz="4" w:space="1" w:color="auto"/>
        </w:pBdr>
        <w:jc w:val="center"/>
        <w:rPr>
          <w:rFonts w:ascii="Times New Roman" w:hAnsi="Times New Roman" w:cs="Times New Roman"/>
          <w:b/>
          <w:bCs/>
          <w:sz w:val="20"/>
          <w:szCs w:val="20"/>
        </w:rPr>
      </w:pPr>
      <w:r>
        <w:rPr>
          <w:rFonts w:ascii="Times New Roman" w:hAnsi="Times New Roman" w:cs="Times New Roman"/>
          <w:b/>
          <w:bCs/>
          <w:sz w:val="20"/>
          <w:szCs w:val="20"/>
        </w:rPr>
        <w:t>WEBSITE DISCLAIMER FOR THE IPO AVO</w:t>
      </w:r>
    </w:p>
    <w:p w14:paraId="0F196401" w14:textId="77777777" w:rsidR="00EE3E53" w:rsidRDefault="00C353A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bCs/>
          <w:i/>
          <w:iCs/>
          <w:sz w:val="20"/>
          <w:szCs w:val="20"/>
        </w:rPr>
      </w:pPr>
      <w:r>
        <w:rPr>
          <w:rFonts w:ascii="Times New Roman" w:hAnsi="Times New Roman" w:cs="Times New Roman"/>
          <w:b/>
          <w:bCs/>
          <w:i/>
          <w:iCs/>
          <w:sz w:val="20"/>
          <w:szCs w:val="20"/>
        </w:rPr>
        <w:t>FIRST PAGE</w:t>
      </w:r>
    </w:p>
    <w:p w14:paraId="0C10CB72" w14:textId="77777777" w:rsidR="00EE3E53" w:rsidRDefault="00C353A3">
      <w:pPr>
        <w:jc w:val="both"/>
        <w:rPr>
          <w:rFonts w:ascii="Times New Roman" w:hAnsi="Times New Roman" w:cs="Times New Roman"/>
          <w:b/>
          <w:bCs/>
          <w:sz w:val="20"/>
          <w:szCs w:val="20"/>
        </w:rPr>
      </w:pPr>
      <w:r>
        <w:rPr>
          <w:rFonts w:ascii="Times New Roman" w:hAnsi="Times New Roman" w:cs="Times New Roman"/>
          <w:b/>
          <w:bCs/>
          <w:sz w:val="20"/>
          <w:szCs w:val="20"/>
        </w:rPr>
        <w:t>THESE MATERIALS ARE NOT DIRECTED AT OR INTENDED TO BE ACCESSED BY PERSONS LOCATED OUTSIDE INDIA.</w:t>
      </w:r>
    </w:p>
    <w:p w14:paraId="7B598F01" w14:textId="77777777" w:rsidR="00EE3E53" w:rsidRDefault="00C353A3">
      <w:pPr>
        <w:jc w:val="both"/>
        <w:rPr>
          <w:rFonts w:ascii="Times New Roman" w:hAnsi="Times New Roman" w:cs="Times New Roman"/>
          <w:b/>
          <w:bCs/>
          <w:sz w:val="20"/>
          <w:szCs w:val="20"/>
        </w:rPr>
      </w:pPr>
      <w:r>
        <w:rPr>
          <w:rFonts w:ascii="Times New Roman" w:hAnsi="Times New Roman" w:cs="Times New Roman"/>
          <w:b/>
          <w:bCs/>
          <w:sz w:val="20"/>
          <w:szCs w:val="20"/>
        </w:rPr>
        <w:t xml:space="preserve">IMPORTANT: </w:t>
      </w:r>
      <w:r>
        <w:rPr>
          <w:rFonts w:ascii="Times New Roman" w:hAnsi="Times New Roman" w:cs="Times New Roman"/>
          <w:sz w:val="20"/>
          <w:szCs w:val="20"/>
        </w:rPr>
        <w:t>You must read and agree with the terms and conditions of the following disclaimer before continuing.</w:t>
      </w:r>
    </w:p>
    <w:p w14:paraId="73352775" w14:textId="24C3F2A8" w:rsidR="00963B3B" w:rsidRDefault="00C353A3">
      <w:pPr>
        <w:jc w:val="both"/>
        <w:rPr>
          <w:rFonts w:ascii="Times New Roman" w:hAnsi="Times New Roman" w:cs="Times New Roman"/>
          <w:sz w:val="20"/>
          <w:szCs w:val="20"/>
        </w:rPr>
      </w:pPr>
      <w:r>
        <w:rPr>
          <w:rFonts w:ascii="Times New Roman" w:hAnsi="Times New Roman" w:cs="Times New Roman"/>
          <w:sz w:val="20"/>
          <w:szCs w:val="20"/>
        </w:rPr>
        <w:t xml:space="preserve">The following disclaimer applies to the </w:t>
      </w:r>
      <w:r w:rsidR="00963B3B">
        <w:rPr>
          <w:rFonts w:ascii="Times New Roman" w:hAnsi="Times New Roman" w:cs="Times New Roman"/>
          <w:sz w:val="20"/>
          <w:szCs w:val="20"/>
        </w:rPr>
        <w:t>audio visual film (the “</w:t>
      </w:r>
      <w:r w:rsidR="00963B3B">
        <w:rPr>
          <w:rFonts w:ascii="Times New Roman" w:hAnsi="Times New Roman" w:cs="Times New Roman"/>
          <w:b/>
          <w:bCs/>
          <w:sz w:val="20"/>
          <w:szCs w:val="20"/>
        </w:rPr>
        <w:t>IPO AV</w:t>
      </w:r>
      <w:r w:rsidR="00963B3B">
        <w:rPr>
          <w:rFonts w:ascii="Times New Roman" w:hAnsi="Times New Roman" w:cs="Times New Roman"/>
          <w:sz w:val="20"/>
          <w:szCs w:val="20"/>
        </w:rPr>
        <w:t xml:space="preserve">”) of </w:t>
      </w:r>
      <w:r w:rsidR="00963B3B" w:rsidRPr="003E1D7F">
        <w:rPr>
          <w:rFonts w:ascii="Times New Roman" w:hAnsi="Times New Roman" w:cs="Times New Roman"/>
          <w:sz w:val="20"/>
          <w:szCs w:val="20"/>
        </w:rPr>
        <w:t xml:space="preserve">Prozeal Green Energy Limited </w:t>
      </w:r>
      <w:r w:rsidR="00963B3B">
        <w:rPr>
          <w:rFonts w:ascii="Times New Roman" w:hAnsi="Times New Roman" w:cs="Times New Roman"/>
          <w:sz w:val="20"/>
          <w:szCs w:val="20"/>
        </w:rPr>
        <w:t>(the “</w:t>
      </w:r>
      <w:r w:rsidR="00963B3B">
        <w:rPr>
          <w:rFonts w:ascii="Times New Roman" w:hAnsi="Times New Roman" w:cs="Times New Roman"/>
          <w:b/>
          <w:bCs/>
          <w:sz w:val="20"/>
          <w:szCs w:val="20"/>
        </w:rPr>
        <w:t>Company</w:t>
      </w:r>
      <w:r w:rsidR="00963B3B">
        <w:rPr>
          <w:rFonts w:ascii="Times New Roman" w:hAnsi="Times New Roman" w:cs="Times New Roman"/>
          <w:sz w:val="20"/>
          <w:szCs w:val="20"/>
        </w:rPr>
        <w:t>”) in relation to the proposed initial public offering of the equity shares of face value of ₹2 each (“</w:t>
      </w:r>
      <w:r w:rsidR="00963B3B">
        <w:rPr>
          <w:rFonts w:ascii="Times New Roman" w:hAnsi="Times New Roman" w:cs="Times New Roman"/>
          <w:b/>
          <w:bCs/>
          <w:sz w:val="20"/>
          <w:szCs w:val="20"/>
        </w:rPr>
        <w:t>Equity Shares</w:t>
      </w:r>
      <w:r w:rsidR="00963B3B">
        <w:rPr>
          <w:rFonts w:ascii="Times New Roman" w:hAnsi="Times New Roman" w:cs="Times New Roman"/>
          <w:sz w:val="20"/>
          <w:szCs w:val="20"/>
        </w:rPr>
        <w:t>”) of the Company (the “</w:t>
      </w:r>
      <w:r w:rsidR="00963B3B">
        <w:rPr>
          <w:rFonts w:ascii="Times New Roman" w:hAnsi="Times New Roman" w:cs="Times New Roman"/>
          <w:b/>
          <w:bCs/>
          <w:sz w:val="20"/>
          <w:szCs w:val="20"/>
        </w:rPr>
        <w:t>Offer</w:t>
      </w:r>
      <w:r w:rsidR="00963B3B">
        <w:rPr>
          <w:rFonts w:ascii="Times New Roman" w:hAnsi="Times New Roman" w:cs="Times New Roman"/>
          <w:sz w:val="20"/>
          <w:szCs w:val="20"/>
        </w:rPr>
        <w:t xml:space="preserve">”). </w:t>
      </w:r>
    </w:p>
    <w:p w14:paraId="35D01B37" w14:textId="714C2E52" w:rsidR="00EE3E53" w:rsidRDefault="00963B3B">
      <w:pPr>
        <w:jc w:val="both"/>
        <w:rPr>
          <w:rFonts w:ascii="Times New Roman" w:hAnsi="Times New Roman" w:cs="Times New Roman"/>
          <w:sz w:val="20"/>
          <w:szCs w:val="20"/>
        </w:rPr>
      </w:pPr>
      <w:r>
        <w:rPr>
          <w:rFonts w:ascii="Times New Roman" w:hAnsi="Times New Roman" w:cs="Times New Roman"/>
          <w:sz w:val="20"/>
          <w:szCs w:val="20"/>
        </w:rPr>
        <w:t xml:space="preserve">The Company has filed the </w:t>
      </w:r>
      <w:r w:rsidR="00C353A3">
        <w:rPr>
          <w:rFonts w:ascii="Times New Roman" w:hAnsi="Times New Roman" w:cs="Times New Roman"/>
          <w:sz w:val="20"/>
          <w:szCs w:val="20"/>
        </w:rPr>
        <w:t xml:space="preserve">draft red herring prospectus dated </w:t>
      </w:r>
      <w:r w:rsidR="00244D09">
        <w:rPr>
          <w:rFonts w:ascii="Times New Roman" w:hAnsi="Times New Roman" w:cs="Times New Roman"/>
          <w:sz w:val="20"/>
          <w:szCs w:val="20"/>
        </w:rPr>
        <w:t xml:space="preserve">March </w:t>
      </w:r>
      <w:r w:rsidR="003E1D7F">
        <w:rPr>
          <w:rFonts w:ascii="Times New Roman" w:hAnsi="Times New Roman" w:cs="Times New Roman"/>
          <w:sz w:val="20"/>
          <w:szCs w:val="20"/>
        </w:rPr>
        <w:t>30</w:t>
      </w:r>
      <w:r w:rsidR="00C353A3">
        <w:rPr>
          <w:rFonts w:ascii="Times New Roman" w:hAnsi="Times New Roman" w:cs="Times New Roman"/>
          <w:sz w:val="20"/>
          <w:szCs w:val="20"/>
        </w:rPr>
        <w:t>, 202</w:t>
      </w:r>
      <w:r w:rsidR="00244D09">
        <w:rPr>
          <w:rFonts w:ascii="Times New Roman" w:hAnsi="Times New Roman" w:cs="Times New Roman"/>
          <w:sz w:val="20"/>
          <w:szCs w:val="20"/>
        </w:rPr>
        <w:t>5</w:t>
      </w:r>
      <w:r w:rsidR="00C353A3">
        <w:rPr>
          <w:rFonts w:ascii="Times New Roman" w:hAnsi="Times New Roman" w:cs="Times New Roman"/>
          <w:sz w:val="20"/>
          <w:szCs w:val="20"/>
        </w:rPr>
        <w:t xml:space="preserve"> (the “</w:t>
      </w:r>
      <w:r w:rsidR="00C353A3">
        <w:rPr>
          <w:rFonts w:ascii="Times New Roman" w:hAnsi="Times New Roman" w:cs="Times New Roman"/>
          <w:b/>
          <w:bCs/>
          <w:sz w:val="20"/>
          <w:szCs w:val="20"/>
        </w:rPr>
        <w:t>Draft Red Herring Prospectus</w:t>
      </w:r>
      <w:r w:rsidR="00C353A3">
        <w:rPr>
          <w:rFonts w:ascii="Times New Roman" w:hAnsi="Times New Roman" w:cs="Times New Roman"/>
          <w:sz w:val="20"/>
          <w:szCs w:val="20"/>
        </w:rPr>
        <w:t>”) with the Securities and Exchange Board of India (</w:t>
      </w:r>
      <w:r>
        <w:rPr>
          <w:rFonts w:ascii="Times New Roman" w:hAnsi="Times New Roman" w:cs="Times New Roman"/>
          <w:sz w:val="20"/>
          <w:szCs w:val="20"/>
        </w:rPr>
        <w:t>“</w:t>
      </w:r>
      <w:r w:rsidR="00C353A3">
        <w:rPr>
          <w:rFonts w:ascii="Times New Roman" w:hAnsi="Times New Roman" w:cs="Times New Roman"/>
          <w:b/>
          <w:bCs/>
          <w:sz w:val="20"/>
          <w:szCs w:val="20"/>
        </w:rPr>
        <w:t>SEBI</w:t>
      </w:r>
      <w:r>
        <w:rPr>
          <w:rFonts w:ascii="Times New Roman" w:hAnsi="Times New Roman" w:cs="Times New Roman"/>
          <w:sz w:val="20"/>
          <w:szCs w:val="20"/>
        </w:rPr>
        <w:t>”</w:t>
      </w:r>
      <w:r w:rsidR="00C353A3">
        <w:rPr>
          <w:rFonts w:ascii="Times New Roman" w:hAnsi="Times New Roman" w:cs="Times New Roman"/>
          <w:sz w:val="20"/>
          <w:szCs w:val="20"/>
        </w:rPr>
        <w:t>), BSE Limited and National Stock Exchange of India Limited (together, the “</w:t>
      </w:r>
      <w:r w:rsidR="00C353A3">
        <w:rPr>
          <w:rFonts w:ascii="Times New Roman" w:hAnsi="Times New Roman" w:cs="Times New Roman"/>
          <w:b/>
          <w:bCs/>
          <w:sz w:val="20"/>
          <w:szCs w:val="20"/>
        </w:rPr>
        <w:t>Stock Exchanges</w:t>
      </w:r>
      <w:r w:rsidR="00C353A3">
        <w:rPr>
          <w:rFonts w:ascii="Times New Roman" w:hAnsi="Times New Roman" w:cs="Times New Roman"/>
          <w:sz w:val="20"/>
          <w:szCs w:val="20"/>
        </w:rPr>
        <w:t xml:space="preserve">”). </w:t>
      </w:r>
    </w:p>
    <w:p w14:paraId="1B57A630" w14:textId="7DA8EB2A" w:rsidR="00EE3E53" w:rsidRDefault="00C353A3">
      <w:pPr>
        <w:jc w:val="both"/>
        <w:rPr>
          <w:rFonts w:ascii="Times New Roman" w:hAnsi="Times New Roman" w:cs="Times New Roman"/>
          <w:b/>
          <w:bCs/>
          <w:sz w:val="20"/>
          <w:szCs w:val="20"/>
        </w:rPr>
      </w:pPr>
      <w:r>
        <w:rPr>
          <w:rFonts w:ascii="Times New Roman" w:hAnsi="Times New Roman" w:cs="Times New Roman"/>
          <w:b/>
          <w:bCs/>
          <w:sz w:val="20"/>
          <w:szCs w:val="20"/>
        </w:rPr>
        <w:t>THE IPO AV IS BEING MADE AVAILABLE ON THIS WEBSITE IN ACCORDANCE WITH CIRCULAR ON “AUDIOVISUAL (AV) PRESENTATION OF DISCLOSURES MADE IN PUBLIC ISSUE OFFER DOCUMENTS” DATED MAY 24, 2024, ISSUED BY</w:t>
      </w:r>
      <w:r w:rsidR="003D0D94">
        <w:rPr>
          <w:rFonts w:ascii="Times New Roman" w:hAnsi="Times New Roman" w:cs="Times New Roman"/>
          <w:b/>
          <w:bCs/>
          <w:sz w:val="20"/>
          <w:szCs w:val="20"/>
        </w:rPr>
        <w:t xml:space="preserve"> SEBI</w:t>
      </w:r>
      <w:r>
        <w:rPr>
          <w:rFonts w:ascii="Times New Roman" w:hAnsi="Times New Roman" w:cs="Times New Roman"/>
          <w:b/>
          <w:bCs/>
          <w:sz w:val="20"/>
          <w:szCs w:val="20"/>
        </w:rPr>
        <w:t>. </w:t>
      </w:r>
    </w:p>
    <w:p w14:paraId="0C8F51CA" w14:textId="3F30B527" w:rsidR="00EE3E53" w:rsidRDefault="00C353A3">
      <w:pPr>
        <w:jc w:val="both"/>
        <w:rPr>
          <w:rFonts w:ascii="Times New Roman" w:hAnsi="Times New Roman" w:cs="Times New Roman"/>
          <w:sz w:val="20"/>
          <w:szCs w:val="20"/>
          <w:lang w:val="en-IN"/>
        </w:rPr>
      </w:pPr>
      <w:r>
        <w:rPr>
          <w:rFonts w:ascii="Times New Roman" w:hAnsi="Times New Roman" w:cs="Times New Roman"/>
          <w:sz w:val="20"/>
          <w:szCs w:val="20"/>
          <w:lang w:val="en-IN"/>
        </w:rPr>
        <w:t>You are advised to read this disclaimer carefully before reading, accessing or making any other use of the IPO AV. In accessing the IPO AV, you agree to be bound by the following terms and conditions</w:t>
      </w:r>
      <w:r w:rsidR="003D0D94">
        <w:rPr>
          <w:rFonts w:ascii="Times New Roman" w:hAnsi="Times New Roman" w:cs="Times New Roman"/>
          <w:sz w:val="20"/>
          <w:szCs w:val="20"/>
          <w:lang w:val="en-IN"/>
        </w:rPr>
        <w:t>.</w:t>
      </w:r>
    </w:p>
    <w:p w14:paraId="71415765" w14:textId="0E90C689" w:rsidR="00EE3E53" w:rsidRDefault="00963B3B">
      <w:pPr>
        <w:jc w:val="both"/>
        <w:rPr>
          <w:rFonts w:ascii="Times New Roman" w:hAnsi="Times New Roman" w:cs="Times New Roman"/>
          <w:sz w:val="20"/>
          <w:szCs w:val="20"/>
          <w:lang w:val="en-IN"/>
        </w:rPr>
      </w:pPr>
      <w:r>
        <w:rPr>
          <w:rFonts w:ascii="Times New Roman" w:hAnsi="Times New Roman" w:cs="Times New Roman"/>
          <w:sz w:val="20"/>
          <w:szCs w:val="20"/>
          <w:lang w:val="en-IN"/>
        </w:rPr>
        <w:t>T</w:t>
      </w:r>
      <w:r w:rsidR="00C353A3">
        <w:rPr>
          <w:rFonts w:ascii="Times New Roman" w:hAnsi="Times New Roman" w:cs="Times New Roman"/>
          <w:sz w:val="20"/>
          <w:szCs w:val="20"/>
          <w:lang w:val="en-IN"/>
        </w:rPr>
        <w:t>he IPO AV is directed at, and is intended for distribution to, and use by, residents of India only. No part of the contents the IPO AV shall be copied or duplicated in any form by any means or redistributed.</w:t>
      </w:r>
    </w:p>
    <w:p w14:paraId="72C2B38D" w14:textId="713EF669" w:rsidR="00EE3E53" w:rsidRDefault="00C353A3">
      <w:pPr>
        <w:spacing w:after="0"/>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The IPO AV </w:t>
      </w:r>
      <w:r w:rsidR="00963B3B">
        <w:rPr>
          <w:rFonts w:ascii="Times New Roman" w:hAnsi="Times New Roman" w:cs="Times New Roman"/>
          <w:sz w:val="20"/>
          <w:szCs w:val="20"/>
          <w:lang w:val="en-IN"/>
        </w:rPr>
        <w:t xml:space="preserve">is </w:t>
      </w:r>
      <w:r>
        <w:rPr>
          <w:rFonts w:ascii="Times New Roman" w:hAnsi="Times New Roman" w:cs="Times New Roman"/>
          <w:sz w:val="20"/>
          <w:szCs w:val="20"/>
          <w:lang w:val="en-IN"/>
        </w:rPr>
        <w:t>for information purposes only and do</w:t>
      </w:r>
      <w:r w:rsidR="00AF2CC0">
        <w:rPr>
          <w:rFonts w:ascii="Times New Roman" w:hAnsi="Times New Roman" w:cs="Times New Roman"/>
          <w:sz w:val="20"/>
          <w:szCs w:val="20"/>
          <w:lang w:val="en-IN"/>
        </w:rPr>
        <w:t>es</w:t>
      </w:r>
      <w:r>
        <w:rPr>
          <w:rFonts w:ascii="Times New Roman" w:hAnsi="Times New Roman" w:cs="Times New Roman"/>
          <w:sz w:val="20"/>
          <w:szCs w:val="20"/>
          <w:lang w:val="en-IN"/>
        </w:rPr>
        <w:t xml:space="preserve"> not constitute, and should not be construed as, directly or indirectly, an offer or invitation to sell or the solicitation of an offer or invitation to purchase any Equity Shares in any jurisdiction. Any such offer or solicitation, if made, would only be made pursuant to the </w:t>
      </w:r>
      <w:r w:rsidR="003D0D94">
        <w:rPr>
          <w:rFonts w:ascii="Times New Roman" w:hAnsi="Times New Roman" w:cs="Times New Roman"/>
          <w:sz w:val="20"/>
          <w:szCs w:val="20"/>
          <w:lang w:val="en-IN"/>
        </w:rPr>
        <w:t xml:space="preserve">Company’s </w:t>
      </w:r>
      <w:r>
        <w:rPr>
          <w:rFonts w:ascii="Times New Roman" w:hAnsi="Times New Roman" w:cs="Times New Roman"/>
          <w:sz w:val="20"/>
          <w:szCs w:val="20"/>
          <w:lang w:val="en-IN"/>
        </w:rPr>
        <w:t>Red Herring Prospectus (“</w:t>
      </w:r>
      <w:r w:rsidRPr="0003595C">
        <w:rPr>
          <w:rFonts w:ascii="Times New Roman" w:hAnsi="Times New Roman" w:cs="Times New Roman"/>
          <w:b/>
          <w:bCs/>
          <w:sz w:val="20"/>
          <w:szCs w:val="20"/>
          <w:lang w:val="en-IN"/>
        </w:rPr>
        <w:t>RHP</w:t>
      </w:r>
      <w:r>
        <w:rPr>
          <w:rFonts w:ascii="Times New Roman" w:hAnsi="Times New Roman" w:cs="Times New Roman"/>
          <w:sz w:val="20"/>
          <w:szCs w:val="20"/>
          <w:lang w:val="en-IN"/>
        </w:rPr>
        <w:t xml:space="preserve">”) which may be filed with the relevant Registrar of Companies in the future (if you are in India) or the RHP and the preliminary international wrap (if you are outside India), together with any supplementary pricing information. Potential investors should not rely on the </w:t>
      </w:r>
      <w:r w:rsidR="002B7F60" w:rsidRPr="002B7F60">
        <w:rPr>
          <w:rFonts w:ascii="Times New Roman" w:hAnsi="Times New Roman" w:cs="Times New Roman"/>
          <w:sz w:val="20"/>
          <w:szCs w:val="20"/>
        </w:rPr>
        <w:t>Draft Red Herring Prospectus</w:t>
      </w:r>
      <w:r>
        <w:rPr>
          <w:rFonts w:ascii="Times New Roman" w:hAnsi="Times New Roman" w:cs="Times New Roman"/>
          <w:sz w:val="20"/>
          <w:szCs w:val="20"/>
          <w:lang w:val="en-IN"/>
        </w:rPr>
        <w:t xml:space="preserve"> in making any investment decision.</w:t>
      </w:r>
    </w:p>
    <w:p w14:paraId="326F1DC9" w14:textId="77777777" w:rsidR="00EE3E53" w:rsidRDefault="00EE3E53">
      <w:pPr>
        <w:spacing w:after="0"/>
        <w:jc w:val="both"/>
        <w:rPr>
          <w:rFonts w:ascii="Times New Roman" w:hAnsi="Times New Roman" w:cs="Times New Roman"/>
          <w:sz w:val="20"/>
          <w:szCs w:val="20"/>
          <w:lang w:val="en-IN"/>
        </w:rPr>
      </w:pPr>
    </w:p>
    <w:p w14:paraId="6BD681B5" w14:textId="77777777" w:rsidR="00EE3E53" w:rsidRDefault="00C353A3">
      <w:pPr>
        <w:spacing w:after="0"/>
        <w:jc w:val="both"/>
        <w:rPr>
          <w:rFonts w:ascii="Times New Roman" w:hAnsi="Times New Roman" w:cs="Times New Roman"/>
          <w:sz w:val="20"/>
          <w:szCs w:val="20"/>
          <w:lang w:val="en-IN"/>
        </w:rPr>
      </w:pPr>
      <w:r>
        <w:rPr>
          <w:rFonts w:ascii="Times New Roman" w:hAnsi="Times New Roman" w:cs="Times New Roman"/>
          <w:sz w:val="20"/>
          <w:szCs w:val="20"/>
          <w:lang w:val="en-IN"/>
        </w:rPr>
        <w:t>Potential investors should note that investment in the Equity Shares involves a high degree of risk and for details relating to such risks, please refer to the RHP (when available), including the section titled “Risk Factors”, and for potential investors outside India, the preliminary international wrap (when available), including the section titled “Additional Risk Factors for International Investors”.</w:t>
      </w:r>
    </w:p>
    <w:p w14:paraId="1F3AE6DB" w14:textId="77777777" w:rsidR="00EE3E53" w:rsidRDefault="00EE3E53">
      <w:pPr>
        <w:spacing w:after="0"/>
        <w:jc w:val="both"/>
        <w:rPr>
          <w:rFonts w:ascii="Times New Roman" w:hAnsi="Times New Roman" w:cs="Times New Roman"/>
          <w:sz w:val="20"/>
          <w:szCs w:val="20"/>
          <w:lang w:val="en-IN"/>
        </w:rPr>
      </w:pPr>
    </w:p>
    <w:p w14:paraId="303A72D5" w14:textId="17800FA3" w:rsidR="00253105" w:rsidRPr="00253105" w:rsidRDefault="00253105" w:rsidP="00253105">
      <w:pPr>
        <w:jc w:val="both"/>
        <w:rPr>
          <w:rFonts w:ascii="Times New Roman" w:hAnsi="Times New Roman" w:cs="Times New Roman"/>
          <w:sz w:val="20"/>
          <w:szCs w:val="20"/>
        </w:rPr>
      </w:pPr>
      <w:r w:rsidRPr="00253105">
        <w:rPr>
          <w:rFonts w:ascii="Times New Roman" w:hAnsi="Times New Roman" w:cs="Times New Roman"/>
          <w:sz w:val="20"/>
          <w:szCs w:val="20"/>
        </w:rPr>
        <w:t>The Equity Shares offered in the Offer have not been and will not be registered, listed or otherwise qualified in any jurisdiction except India and may not be offered or sold to persons outside of India except in compliance with the applicable laws of each such jurisdiction. In particular, the Equity Shares offered in the Offer have not been and will not be registered under the U.S. Securities Act of 1933, as amended, or the securities laws of any state of the United States and may not be offered or sold in the United States, except pursuant to an exemption from, or in a transaction not subject to, the registration requirements of the U.S. Securities Act and applicable state securities laws. The Equity Shares offered in the Offer are being offered and sold only outside the United States in “offshore transactions” as defined in and in reliance on Regulation S under the U.S. Securities Act (“</w:t>
      </w:r>
      <w:r w:rsidRPr="00253105">
        <w:rPr>
          <w:rFonts w:ascii="Times New Roman" w:hAnsi="Times New Roman" w:cs="Times New Roman"/>
          <w:b/>
          <w:bCs/>
          <w:sz w:val="20"/>
          <w:szCs w:val="20"/>
        </w:rPr>
        <w:t>Regulation S</w:t>
      </w:r>
      <w:r w:rsidRPr="00253105">
        <w:rPr>
          <w:rFonts w:ascii="Times New Roman" w:hAnsi="Times New Roman" w:cs="Times New Roman"/>
          <w:sz w:val="20"/>
          <w:szCs w:val="20"/>
        </w:rPr>
        <w:t>”).</w:t>
      </w:r>
    </w:p>
    <w:p w14:paraId="588D047E" w14:textId="6952B6D2" w:rsidR="00EE3E53" w:rsidRDefault="00253105" w:rsidP="00253105">
      <w:pPr>
        <w:jc w:val="both"/>
        <w:rPr>
          <w:rFonts w:ascii="Times New Roman" w:eastAsia="Times New Roman" w:hAnsi="Times New Roman" w:cs="Times New Roman"/>
          <w:color w:val="000000"/>
          <w:kern w:val="0"/>
          <w:lang w:val="en-IN" w:eastAsia="en-IN"/>
          <w14:ligatures w14:val="none"/>
        </w:rPr>
      </w:pPr>
      <w:r w:rsidRPr="00253105">
        <w:rPr>
          <w:rFonts w:ascii="Times New Roman" w:hAnsi="Times New Roman" w:cs="Times New Roman"/>
          <w:sz w:val="20"/>
          <w:szCs w:val="20"/>
        </w:rPr>
        <w:t>Nuvama Wealth Management</w:t>
      </w:r>
      <w:r>
        <w:rPr>
          <w:rFonts w:ascii="Times New Roman" w:hAnsi="Times New Roman" w:cs="Times New Roman"/>
          <w:sz w:val="20"/>
          <w:szCs w:val="20"/>
        </w:rPr>
        <w:t xml:space="preserve"> Limited and </w:t>
      </w:r>
      <w:r w:rsidRPr="00253105">
        <w:rPr>
          <w:rFonts w:ascii="Times New Roman" w:hAnsi="Times New Roman" w:cs="Times New Roman"/>
          <w:sz w:val="20"/>
          <w:szCs w:val="20"/>
        </w:rPr>
        <w:t>SBI Capital Markets Limited</w:t>
      </w:r>
      <w:r>
        <w:rPr>
          <w:rFonts w:ascii="Times New Roman" w:hAnsi="Times New Roman" w:cs="Times New Roman"/>
          <w:sz w:val="20"/>
          <w:szCs w:val="20"/>
        </w:rPr>
        <w:t xml:space="preserve"> (together the</w:t>
      </w:r>
      <w:r w:rsidR="00C353A3">
        <w:rPr>
          <w:rFonts w:ascii="Times New Roman" w:hAnsi="Times New Roman" w:cs="Times New Roman"/>
          <w:sz w:val="20"/>
          <w:szCs w:val="20"/>
        </w:rPr>
        <w:t xml:space="preserve"> “</w:t>
      </w:r>
      <w:r w:rsidR="00C353A3">
        <w:rPr>
          <w:rFonts w:ascii="Times New Roman" w:hAnsi="Times New Roman" w:cs="Times New Roman"/>
          <w:b/>
          <w:bCs/>
          <w:sz w:val="20"/>
          <w:szCs w:val="20"/>
        </w:rPr>
        <w:t>Book Running Lead Manager</w:t>
      </w:r>
      <w:r>
        <w:rPr>
          <w:rFonts w:ascii="Times New Roman" w:hAnsi="Times New Roman" w:cs="Times New Roman"/>
          <w:b/>
          <w:bCs/>
          <w:sz w:val="20"/>
          <w:szCs w:val="20"/>
        </w:rPr>
        <w:t>s</w:t>
      </w:r>
      <w:r w:rsidR="00C353A3">
        <w:rPr>
          <w:rFonts w:ascii="Times New Roman" w:hAnsi="Times New Roman" w:cs="Times New Roman"/>
          <w:sz w:val="20"/>
          <w:szCs w:val="20"/>
        </w:rPr>
        <w:t xml:space="preserve">”) and their respective affiliates, directors, officers, agents, representatives, advisers and employees do not </w:t>
      </w:r>
      <w:r w:rsidR="00C353A3">
        <w:rPr>
          <w:rFonts w:ascii="Times New Roman" w:hAnsi="Times New Roman" w:cs="Times New Roman"/>
          <w:sz w:val="20"/>
          <w:szCs w:val="20"/>
        </w:rPr>
        <w:lastRenderedPageBreak/>
        <w:t>accept any liability whatsoever, direct or indirect, that may arise from the use of the information contained on this website.</w:t>
      </w:r>
      <w:r w:rsidR="00C353A3">
        <w:rPr>
          <w:rFonts w:ascii="Times New Roman" w:eastAsia="Times New Roman" w:hAnsi="Times New Roman" w:cs="Times New Roman"/>
          <w:color w:val="000000"/>
          <w:kern w:val="0"/>
          <w:lang w:val="en-IN" w:eastAsia="en-IN"/>
          <w14:ligatures w14:val="none"/>
        </w:rPr>
        <w:t xml:space="preserve"> </w:t>
      </w:r>
    </w:p>
    <w:p w14:paraId="34F22892" w14:textId="7EE51A0C" w:rsidR="00EE3E53" w:rsidRDefault="00C353A3">
      <w:pPr>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The information in the IPO AV is as of the date </w:t>
      </w:r>
      <w:r w:rsidR="00963B3B">
        <w:rPr>
          <w:rFonts w:ascii="Times New Roman" w:hAnsi="Times New Roman" w:cs="Times New Roman"/>
          <w:sz w:val="20"/>
          <w:szCs w:val="20"/>
          <w:lang w:val="en-IN"/>
        </w:rPr>
        <w:t xml:space="preserve">of the Draft Red Herring Prospectus </w:t>
      </w:r>
      <w:r>
        <w:rPr>
          <w:rFonts w:ascii="Times New Roman" w:hAnsi="Times New Roman" w:cs="Times New Roman"/>
          <w:sz w:val="20"/>
          <w:szCs w:val="20"/>
          <w:lang w:val="en-IN"/>
        </w:rPr>
        <w:t xml:space="preserve">and none of the Company, </w:t>
      </w:r>
      <w:r w:rsidR="00963B3B">
        <w:rPr>
          <w:rFonts w:ascii="Times New Roman" w:hAnsi="Times New Roman" w:cs="Times New Roman"/>
          <w:sz w:val="20"/>
          <w:szCs w:val="20"/>
          <w:lang w:val="en-IN"/>
        </w:rPr>
        <w:t xml:space="preserve">the </w:t>
      </w:r>
      <w:r>
        <w:rPr>
          <w:rFonts w:ascii="Times New Roman" w:hAnsi="Times New Roman" w:cs="Times New Roman"/>
          <w:sz w:val="20"/>
          <w:szCs w:val="20"/>
          <w:lang w:val="en-IN"/>
        </w:rPr>
        <w:t xml:space="preserve">Promoters, the Book Running Lead </w:t>
      </w:r>
      <w:r w:rsidR="00253105">
        <w:rPr>
          <w:rFonts w:ascii="Times New Roman" w:hAnsi="Times New Roman" w:cs="Times New Roman"/>
          <w:sz w:val="20"/>
          <w:szCs w:val="20"/>
          <w:lang w:val="en-IN"/>
        </w:rPr>
        <w:t>Managers or</w:t>
      </w:r>
      <w:r>
        <w:rPr>
          <w:rFonts w:ascii="Times New Roman" w:hAnsi="Times New Roman" w:cs="Times New Roman"/>
          <w:sz w:val="20"/>
          <w:szCs w:val="20"/>
          <w:lang w:val="en-IN"/>
        </w:rPr>
        <w:t xml:space="preserve"> their respective affiliates, directors, officers, agents, representatives, advisers or employees are under any obligation to update or revise the IPO AV to reflect circumstances arising after the date thereof. </w:t>
      </w:r>
    </w:p>
    <w:p w14:paraId="451E8FEE" w14:textId="7591A895" w:rsidR="00EE3E53" w:rsidRPr="002B7F60" w:rsidRDefault="00C353A3">
      <w:pPr>
        <w:jc w:val="both"/>
        <w:rPr>
          <w:rFonts w:ascii="Times New Roman" w:hAnsi="Times New Roman" w:cs="Times New Roman"/>
          <w:b/>
          <w:bCs/>
          <w:sz w:val="20"/>
          <w:szCs w:val="20"/>
          <w:lang w:val="en-IN"/>
        </w:rPr>
      </w:pPr>
      <w:r w:rsidRPr="002B7F60">
        <w:rPr>
          <w:rFonts w:ascii="Times New Roman" w:hAnsi="Times New Roman" w:cs="Times New Roman"/>
          <w:b/>
          <w:bCs/>
          <w:sz w:val="20"/>
          <w:szCs w:val="20"/>
          <w:lang w:val="en-IN"/>
        </w:rPr>
        <w:t>To access</w:t>
      </w:r>
      <w:r w:rsidR="002B7F60">
        <w:rPr>
          <w:rFonts w:ascii="Times New Roman" w:hAnsi="Times New Roman" w:cs="Times New Roman"/>
          <w:b/>
          <w:bCs/>
          <w:sz w:val="20"/>
          <w:szCs w:val="20"/>
          <w:lang w:val="en-IN"/>
        </w:rPr>
        <w:t xml:space="preserve"> the IPO AV</w:t>
      </w:r>
      <w:r w:rsidRPr="002B7F60">
        <w:rPr>
          <w:rFonts w:ascii="Times New Roman" w:hAnsi="Times New Roman" w:cs="Times New Roman"/>
          <w:b/>
          <w:bCs/>
          <w:sz w:val="20"/>
          <w:szCs w:val="20"/>
          <w:lang w:val="en-IN"/>
        </w:rPr>
        <w:t>, you must confirm, by pressing on the button marked “I Confirm”, that at the time of access, you are located in India. If you cannot make this confirmation, you must press the button marked “I Do Not Confirm”.</w:t>
      </w:r>
    </w:p>
    <w:p w14:paraId="40847367" w14:textId="77777777" w:rsidR="00EE3E53" w:rsidRDefault="00C353A3">
      <w:pPr>
        <w:jc w:val="both"/>
        <w:rPr>
          <w:rFonts w:ascii="Times New Roman" w:hAnsi="Times New Roman" w:cs="Times New Roman"/>
          <w:sz w:val="20"/>
          <w:szCs w:val="20"/>
        </w:rPr>
      </w:pPr>
      <w:r>
        <w:rPr>
          <w:rFonts w:ascii="Times New Roman" w:hAnsi="Times New Roman" w:cs="Times New Roman"/>
          <w:sz w:val="20"/>
          <w:szCs w:val="20"/>
          <w:lang w:val="en-IN"/>
        </w:rPr>
        <w:t xml:space="preserve"> </w:t>
      </w:r>
      <w:r>
        <w:rPr>
          <w:rFonts w:ascii="Times New Roman" w:hAnsi="Times New Roman" w:cs="Times New Roman"/>
          <w:sz w:val="20"/>
          <w:szCs w:val="20"/>
        </w:rPr>
        <w:t>[</w:t>
      </w:r>
      <w:r>
        <w:rPr>
          <w:rFonts w:ascii="Times New Roman" w:hAnsi="Times New Roman" w:cs="Times New Roman"/>
          <w:b/>
          <w:i/>
          <w:sz w:val="20"/>
          <w:szCs w:val="20"/>
          <w:highlight w:val="yellow"/>
        </w:rPr>
        <w:t>Note</w:t>
      </w:r>
      <w:r>
        <w:rPr>
          <w:rFonts w:ascii="Times New Roman" w:hAnsi="Times New Roman" w:cs="Times New Roman"/>
          <w:i/>
          <w:sz w:val="20"/>
          <w:szCs w:val="20"/>
          <w:highlight w:val="yellow"/>
        </w:rPr>
        <w:t>: Please include appropriate buttons for “I Confirm” and “I Do Not Confirm”.</w:t>
      </w:r>
      <w:r>
        <w:rPr>
          <w:rFonts w:ascii="Times New Roman" w:hAnsi="Times New Roman" w:cs="Times New Roman"/>
          <w:sz w:val="20"/>
          <w:szCs w:val="20"/>
        </w:rPr>
        <w:t>]</w:t>
      </w:r>
    </w:p>
    <w:p w14:paraId="344C1D5F" w14:textId="31AA8039" w:rsidR="00EE3E53" w:rsidRDefault="00C353A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iCs/>
          <w:sz w:val="20"/>
          <w:szCs w:val="20"/>
          <w:u w:val="single"/>
        </w:rPr>
      </w:pPr>
      <w:r>
        <w:rPr>
          <w:rFonts w:ascii="Times New Roman" w:hAnsi="Times New Roman" w:cs="Times New Roman"/>
          <w:b/>
          <w:iCs/>
          <w:sz w:val="20"/>
          <w:szCs w:val="20"/>
          <w:u w:val="single"/>
        </w:rPr>
        <w:t xml:space="preserve">IF THE USER SELECTS THE “I CONFIRM” BUTTON THEN PROVIDE ACCESS TO THE AV IPO IN THE </w:t>
      </w:r>
      <w:r w:rsidR="00963B3B">
        <w:rPr>
          <w:rFonts w:ascii="Times New Roman" w:hAnsi="Times New Roman" w:cs="Times New Roman"/>
          <w:b/>
          <w:iCs/>
          <w:sz w:val="20"/>
          <w:szCs w:val="20"/>
          <w:u w:val="single"/>
        </w:rPr>
        <w:t xml:space="preserve">SECOND </w:t>
      </w:r>
      <w:r>
        <w:rPr>
          <w:rFonts w:ascii="Times New Roman" w:hAnsi="Times New Roman" w:cs="Times New Roman"/>
          <w:b/>
          <w:iCs/>
          <w:sz w:val="20"/>
          <w:szCs w:val="20"/>
          <w:u w:val="single"/>
        </w:rPr>
        <w:t xml:space="preserve">PAGE </w:t>
      </w:r>
    </w:p>
    <w:p w14:paraId="670F8F04" w14:textId="77777777" w:rsidR="00EE3E53" w:rsidRDefault="00C353A3">
      <w:pPr>
        <w:jc w:val="both"/>
        <w:rPr>
          <w:rFonts w:ascii="Times New Roman" w:hAnsi="Times New Roman" w:cs="Times New Roman"/>
          <w:b/>
          <w:bCs/>
          <w:i/>
          <w:iCs/>
          <w:sz w:val="20"/>
          <w:szCs w:val="20"/>
        </w:rPr>
      </w:pPr>
      <w:r>
        <w:rPr>
          <w:rFonts w:ascii="Times New Roman" w:hAnsi="Times New Roman" w:cs="Times New Roman"/>
          <w:b/>
          <w:bCs/>
          <w:i/>
          <w:iCs/>
          <w:sz w:val="20"/>
          <w:szCs w:val="20"/>
        </w:rPr>
        <w:t>ELSE</w:t>
      </w:r>
    </w:p>
    <w:p w14:paraId="5AEE6D8F" w14:textId="77777777" w:rsidR="00EE3E53" w:rsidRDefault="00C353A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iCs/>
          <w:sz w:val="20"/>
          <w:szCs w:val="20"/>
          <w:u w:val="single"/>
        </w:rPr>
      </w:pPr>
      <w:r>
        <w:rPr>
          <w:rFonts w:ascii="Times New Roman" w:hAnsi="Times New Roman" w:cs="Times New Roman"/>
          <w:b/>
          <w:iCs/>
          <w:sz w:val="20"/>
          <w:szCs w:val="20"/>
          <w:u w:val="single"/>
        </w:rPr>
        <w:t>IF THE USER SELECTS THE “I DO NOT CONFIRM” BUTTON THEN PROVIDE DISPLAY THE FOLLOWING MESSAGE</w:t>
      </w:r>
    </w:p>
    <w:p w14:paraId="07EDF061" w14:textId="77777777" w:rsidR="00EE3E53" w:rsidRDefault="00C353A3">
      <w:pPr>
        <w:jc w:val="both"/>
        <w:rPr>
          <w:rFonts w:ascii="Times New Roman" w:hAnsi="Times New Roman" w:cs="Times New Roman"/>
          <w:sz w:val="20"/>
          <w:szCs w:val="20"/>
        </w:rPr>
      </w:pPr>
      <w:r>
        <w:rPr>
          <w:rFonts w:ascii="Times New Roman" w:hAnsi="Times New Roman" w:cs="Times New Roman"/>
          <w:sz w:val="20"/>
          <w:szCs w:val="20"/>
        </w:rPr>
        <w:t>“You are not permitted to view the materials in this section of the website.”</w:t>
      </w:r>
    </w:p>
    <w:sectPr w:rsidR="00EE3E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03C19" w14:textId="77777777" w:rsidR="00EE3E53" w:rsidRDefault="00C353A3">
      <w:pPr>
        <w:spacing w:after="0" w:line="240" w:lineRule="auto"/>
      </w:pPr>
      <w:r>
        <w:separator/>
      </w:r>
    </w:p>
  </w:endnote>
  <w:endnote w:type="continuationSeparator" w:id="0">
    <w:p w14:paraId="0804496A" w14:textId="77777777" w:rsidR="00EE3E53" w:rsidRDefault="00C35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DC10" w14:textId="45013D60" w:rsidR="00145F17" w:rsidRDefault="005B5C71" w:rsidP="005B5C71">
    <w:pPr>
      <w:pStyle w:val="DocID0"/>
    </w:pPr>
    <w:r w:rsidRPr="005B5C71">
      <w:t>C:\Users\FIJugari\AppData\Local\Microsoft\Windows\INetCache\Content.Outlook\EGHVRGWA\Project Prima - Website disclaimer for IPO AVO</w:t>
    </w:r>
  </w:p>
  <w:p w14:paraId="698F9971" w14:textId="38F92E13" w:rsidR="00E54A00" w:rsidRDefault="00253105" w:rsidP="004A42AB">
    <w:pPr>
      <w:pStyle w:val="DocID0"/>
    </w:pPr>
    <w:r>
      <w:fldChar w:fldCharType="begin"/>
    </w:r>
    <w:r w:rsidR="004A42AB">
      <w:instrText xml:space="preserve">DOCPROPERTY DOCXDOCID DMS=FileSystem Format=&lt;&lt;FPTH&gt;&gt;\&lt;&lt;NAME&gt;&gt; \* MERGEFORMAT </w:instrText>
    </w:r>
    <w:r>
      <w:fldChar w:fldCharType="separate"/>
    </w:r>
    <w:r w:rsidR="004A42AB" w:rsidRPr="004A42AB">
      <w:t>C:\Users\jbenson\AppData\Roaming\iManage\Work\Recent\71726-00001 Nuvama Wealth F_K_A EDELWEISS SECURITI _-IPO - Prozeal Green Energy\Project Prakasha - disclaimer for IPO AVO 7 April 2025(11418946.2)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99DD" w14:textId="77777777" w:rsidR="00AF2CC0" w:rsidRDefault="00AF2C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DC30" w14:textId="7530AD31" w:rsidR="00145F17" w:rsidRDefault="005B5C71" w:rsidP="005B5C71">
    <w:pPr>
      <w:pStyle w:val="DocID0"/>
    </w:pPr>
    <w:r w:rsidRPr="005B5C71">
      <w:t>C:\Users\FIJugari\AppData\Local\Microsoft\Windows\INetCache\Content.Outlook\EGHVRGWA\Project Prima - Website disclaimer for IPO AVO</w:t>
    </w:r>
  </w:p>
  <w:p w14:paraId="027EEBFC" w14:textId="15D1C3C1" w:rsidR="00E54A00" w:rsidRDefault="00253105" w:rsidP="004A42AB">
    <w:pPr>
      <w:pStyle w:val="DocID0"/>
    </w:pPr>
    <w:r>
      <w:fldChar w:fldCharType="begin"/>
    </w:r>
    <w:r w:rsidR="004A42AB">
      <w:instrText xml:space="preserve">DOCPROPERTY DOCXDOCID DMS=FileSystem Format=&lt;&lt;FPTH&gt;&gt;\&lt;&lt;NAME&gt;&gt; \* MERGEFORMAT </w:instrText>
    </w:r>
    <w:r>
      <w:fldChar w:fldCharType="separate"/>
    </w:r>
    <w:r w:rsidR="004A42AB" w:rsidRPr="004A42AB">
      <w:t>C:\Users\jbenson\AppData\Roaming\iManage\Work\Recent\71726-00001 Nuvama Wealth F_K_A EDELWEISS SECURITI _-IPO - Prozeal Green Energy\Project Prakasha - disclaimer for IPO AVO 7 April 2025(11418946.2)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36BB" w14:textId="77777777" w:rsidR="00EE3E53" w:rsidRDefault="00C353A3">
      <w:pPr>
        <w:spacing w:after="0" w:line="240" w:lineRule="auto"/>
      </w:pPr>
      <w:r>
        <w:separator/>
      </w:r>
    </w:p>
  </w:footnote>
  <w:footnote w:type="continuationSeparator" w:id="0">
    <w:p w14:paraId="1FE9165E" w14:textId="77777777" w:rsidR="00EE3E53" w:rsidRDefault="00C35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3BAC" w14:textId="77777777" w:rsidR="00AF2CC0" w:rsidRDefault="00AF2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A32D" w14:textId="77777777" w:rsidR="00AF2CC0" w:rsidRDefault="00AF2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EA03" w14:textId="77777777" w:rsidR="00AF2CC0" w:rsidRDefault="00AF2C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E53"/>
    <w:rsid w:val="0003595C"/>
    <w:rsid w:val="00145F17"/>
    <w:rsid w:val="00152BD1"/>
    <w:rsid w:val="001850C7"/>
    <w:rsid w:val="00244D09"/>
    <w:rsid w:val="00247A17"/>
    <w:rsid w:val="00253105"/>
    <w:rsid w:val="002B7F60"/>
    <w:rsid w:val="00335884"/>
    <w:rsid w:val="00391F98"/>
    <w:rsid w:val="003D0D94"/>
    <w:rsid w:val="003E1D7F"/>
    <w:rsid w:val="0042016A"/>
    <w:rsid w:val="00460527"/>
    <w:rsid w:val="004A42AB"/>
    <w:rsid w:val="005B5C71"/>
    <w:rsid w:val="007173F4"/>
    <w:rsid w:val="00767554"/>
    <w:rsid w:val="00825FA4"/>
    <w:rsid w:val="00861114"/>
    <w:rsid w:val="00963B3B"/>
    <w:rsid w:val="00A429E1"/>
    <w:rsid w:val="00AE0245"/>
    <w:rsid w:val="00AF2CC0"/>
    <w:rsid w:val="00B471DF"/>
    <w:rsid w:val="00C353A3"/>
    <w:rsid w:val="00DE179A"/>
    <w:rsid w:val="00DF57A6"/>
    <w:rsid w:val="00E54A00"/>
    <w:rsid w:val="00EB0D11"/>
    <w:rsid w:val="00EE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120E4E"/>
  <w15:chartTrackingRefBased/>
  <w15:docId w15:val="{276A10CE-6084-4DD3-9CCE-40551F20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rmalWeb">
    <w:name w:val="Normal (Web)"/>
    <w:basedOn w:val="Normal"/>
    <w:uiPriority w:val="99"/>
    <w:semiHidden/>
    <w:unhideWhenUsed/>
    <w:rPr>
      <w:rFonts w:ascii="Times New Roman" w:hAnsi="Times New Roman"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DocID">
    <w:name w:val="DocID"/>
    <w:basedOn w:val="DefaultParagraphFont"/>
    <w:rPr>
      <w:rFonts w:ascii="Times New Roman" w:hAnsi="Times New Roman" w:cs="Times New Roman"/>
      <w:b w:val="0"/>
      <w:i w:val="0"/>
      <w:caps w:val="0"/>
      <w:vanish w:val="0"/>
      <w:color w:val="000000"/>
      <w:sz w:val="14"/>
      <w:szCs w:val="20"/>
      <w:u w:val="none"/>
      <w:lang w:val="en-IN"/>
    </w:rPr>
  </w:style>
  <w:style w:type="paragraph" w:customStyle="1" w:styleId="DocID0">
    <w:name w:val="_DocID"/>
    <w:rsid w:val="00145F17"/>
    <w:pPr>
      <w:spacing w:after="0" w:line="240" w:lineRule="auto"/>
    </w:pPr>
    <w:rPr>
      <w:rFonts w:ascii="Times New Roman" w:eastAsia="Times New Roman" w:hAnsi="Times New Roman" w:cs="Times New Roman"/>
      <w:kern w:val="0"/>
      <w:sz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3171">
      <w:bodyDiv w:val="1"/>
      <w:marLeft w:val="0"/>
      <w:marRight w:val="0"/>
      <w:marTop w:val="0"/>
      <w:marBottom w:val="0"/>
      <w:divBdr>
        <w:top w:val="none" w:sz="0" w:space="0" w:color="auto"/>
        <w:left w:val="none" w:sz="0" w:space="0" w:color="auto"/>
        <w:bottom w:val="none" w:sz="0" w:space="0" w:color="auto"/>
        <w:right w:val="none" w:sz="0" w:space="0" w:color="auto"/>
      </w:divBdr>
    </w:div>
    <w:div w:id="294063124">
      <w:bodyDiv w:val="1"/>
      <w:marLeft w:val="0"/>
      <w:marRight w:val="0"/>
      <w:marTop w:val="0"/>
      <w:marBottom w:val="0"/>
      <w:divBdr>
        <w:top w:val="none" w:sz="0" w:space="0" w:color="auto"/>
        <w:left w:val="none" w:sz="0" w:space="0" w:color="auto"/>
        <w:bottom w:val="none" w:sz="0" w:space="0" w:color="auto"/>
        <w:right w:val="none" w:sz="0" w:space="0" w:color="auto"/>
      </w:divBdr>
    </w:div>
    <w:div w:id="431584259">
      <w:bodyDiv w:val="1"/>
      <w:marLeft w:val="0"/>
      <w:marRight w:val="0"/>
      <w:marTop w:val="0"/>
      <w:marBottom w:val="0"/>
      <w:divBdr>
        <w:top w:val="none" w:sz="0" w:space="0" w:color="auto"/>
        <w:left w:val="none" w:sz="0" w:space="0" w:color="auto"/>
        <w:bottom w:val="none" w:sz="0" w:space="0" w:color="auto"/>
        <w:right w:val="none" w:sz="0" w:space="0" w:color="auto"/>
      </w:divBdr>
    </w:div>
    <w:div w:id="706681739">
      <w:bodyDiv w:val="1"/>
      <w:marLeft w:val="0"/>
      <w:marRight w:val="0"/>
      <w:marTop w:val="0"/>
      <w:marBottom w:val="0"/>
      <w:divBdr>
        <w:top w:val="none" w:sz="0" w:space="0" w:color="auto"/>
        <w:left w:val="none" w:sz="0" w:space="0" w:color="auto"/>
        <w:bottom w:val="none" w:sz="0" w:space="0" w:color="auto"/>
        <w:right w:val="none" w:sz="0" w:space="0" w:color="auto"/>
      </w:divBdr>
    </w:div>
    <w:div w:id="920722768">
      <w:bodyDiv w:val="1"/>
      <w:marLeft w:val="0"/>
      <w:marRight w:val="0"/>
      <w:marTop w:val="0"/>
      <w:marBottom w:val="0"/>
      <w:divBdr>
        <w:top w:val="none" w:sz="0" w:space="0" w:color="auto"/>
        <w:left w:val="none" w:sz="0" w:space="0" w:color="auto"/>
        <w:bottom w:val="none" w:sz="0" w:space="0" w:color="auto"/>
        <w:right w:val="none" w:sz="0" w:space="0" w:color="auto"/>
      </w:divBdr>
    </w:div>
    <w:div w:id="1185631745">
      <w:bodyDiv w:val="1"/>
      <w:marLeft w:val="0"/>
      <w:marRight w:val="0"/>
      <w:marTop w:val="0"/>
      <w:marBottom w:val="0"/>
      <w:divBdr>
        <w:top w:val="none" w:sz="0" w:space="0" w:color="auto"/>
        <w:left w:val="none" w:sz="0" w:space="0" w:color="auto"/>
        <w:bottom w:val="none" w:sz="0" w:space="0" w:color="auto"/>
        <w:right w:val="none" w:sz="0" w:space="0" w:color="auto"/>
      </w:divBdr>
    </w:div>
    <w:div w:id="1242369532">
      <w:bodyDiv w:val="1"/>
      <w:marLeft w:val="0"/>
      <w:marRight w:val="0"/>
      <w:marTop w:val="0"/>
      <w:marBottom w:val="0"/>
      <w:divBdr>
        <w:top w:val="none" w:sz="0" w:space="0" w:color="auto"/>
        <w:left w:val="none" w:sz="0" w:space="0" w:color="auto"/>
        <w:bottom w:val="none" w:sz="0" w:space="0" w:color="auto"/>
        <w:right w:val="none" w:sz="0" w:space="0" w:color="auto"/>
      </w:divBdr>
    </w:div>
    <w:div w:id="1513108708">
      <w:bodyDiv w:val="1"/>
      <w:marLeft w:val="0"/>
      <w:marRight w:val="0"/>
      <w:marTop w:val="0"/>
      <w:marBottom w:val="0"/>
      <w:divBdr>
        <w:top w:val="none" w:sz="0" w:space="0" w:color="auto"/>
        <w:left w:val="none" w:sz="0" w:space="0" w:color="auto"/>
        <w:bottom w:val="none" w:sz="0" w:space="0" w:color="auto"/>
        <w:right w:val="none" w:sz="0" w:space="0" w:color="auto"/>
      </w:divBdr>
    </w:div>
    <w:div w:id="1933977421">
      <w:bodyDiv w:val="1"/>
      <w:marLeft w:val="0"/>
      <w:marRight w:val="0"/>
      <w:marTop w:val="0"/>
      <w:marBottom w:val="0"/>
      <w:divBdr>
        <w:top w:val="none" w:sz="0" w:space="0" w:color="auto"/>
        <w:left w:val="none" w:sz="0" w:space="0" w:color="auto"/>
        <w:bottom w:val="none" w:sz="0" w:space="0" w:color="auto"/>
        <w:right w:val="none" w:sz="0" w:space="0" w:color="auto"/>
      </w:divBdr>
    </w:div>
    <w:div w:id="204683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item.xml><?xml version="1.0" encoding="utf-8"?>
<properties xmlns="http://www.imanage.com/work/xmlschema">
  <documentid>DM3!11418946.2</documentid>
  <senderid>JBENSON</senderid>
  <senderemail>JBENSON@DUANEMORRISSELVAM.COM</senderemail>
  <lastmodified>2025-04-07T20:52:00.0000000+10:00</lastmodified>
  <database>DM3</database>
</properties>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3949</Characters>
  <Application>Microsoft Office Word</Application>
  <DocSecurity>0</DocSecurity>
  <Lines>57</Lines>
  <Paragraphs>20</Paragraphs>
  <ScaleCrop>false</ScaleCrop>
  <HeadingPairs>
    <vt:vector size="2" baseType="variant">
      <vt:variant>
        <vt:lpstr>Title</vt:lpstr>
      </vt:variant>
      <vt:variant>
        <vt:i4>1</vt:i4>
      </vt:variant>
    </vt:vector>
  </HeadingPairs>
  <TitlesOfParts>
    <vt:vector size="1" baseType="lpstr">
      <vt:lpstr/>
    </vt:vector>
  </TitlesOfParts>
  <Company>Duane Morris LLP</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Benson, Jamie</cp:lastModifiedBy>
  <cp:revision>5</cp:revision>
  <dcterms:created xsi:type="dcterms:W3CDTF">2025-04-07T10:52:00Z</dcterms:created>
  <dcterms:modified xsi:type="dcterms:W3CDTF">2025-04-07T10:52:00Z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C:\Users\jbenson\AppData\Roaming\iManage\Work\Recent\71726-00001 Nuvama Wealth F_K_A EDELWEISS SECURITI _-IPO - Prozeal Green Energy\Project Prakasha - disclaimer for IPO AVO 7 April 2025(11418946.2)</vt:lpwstr>
  </property>
  <property fmtid="{D5CDD505-2E9C-101B-9397-08002B2CF9AE}" pid="3" name="DocXFormat">
    <vt:lpwstr>DocID (LFS)</vt:lpwstr>
  </property>
  <property fmtid="{D5CDD505-2E9C-101B-9397-08002B2CF9AE}" pid="4" name="DocXLocation">
    <vt:lpwstr>EveryPage</vt:lpwstr>
  </property>
</Properties>
</file>